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B55F" w14:textId="52AD1032" w:rsidR="003D4916" w:rsidRPr="003D4916" w:rsidRDefault="003D4916" w:rsidP="003D4916">
      <w:pPr>
        <w:shd w:val="clear" w:color="auto" w:fill="CCCCCC"/>
        <w:spacing w:beforeAutospacing="1" w:after="0" w:afterAutospacing="1" w:line="240" w:lineRule="auto"/>
        <w:jc w:val="center"/>
        <w:outlineLvl w:val="0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Лицензионное соглашение с конечным пользователем на программное обеспечение «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Retail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Suite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Global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»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br/>
        <w:t>(«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RS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Global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»)</w:t>
      </w:r>
    </w:p>
    <w:p w14:paraId="4AF5CF55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531FD734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078FD23E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33813AAA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7FB450B0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43887456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ОПИСАНИЕ ПРАВ И ОГРАНИЧЕНИЙ</w:t>
      </w:r>
    </w:p>
    <w:p w14:paraId="64E3DF95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150536E4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0417818E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14D1C4F5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lastRenderedPageBreak/>
        <w:t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4E7DB076" w14:textId="7CF2ACC5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,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совершенные в личном кабинете на официальном сайте Правообладателя после введения учетных данных, присвоенных Лицензиату (конклюдентные действия), считаются совершенными от его имени и в его интересах соответствующим образом уполномоченными лицами, и как следствие влекут для Лицензиата возникновение прав и обязанностей.</w:t>
      </w:r>
    </w:p>
    <w:p w14:paraId="46E78751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3B3F1035" w14:textId="77777777" w:rsidR="003D4916" w:rsidRPr="003D4916" w:rsidRDefault="003D4916" w:rsidP="003D4916">
      <w:pPr>
        <w:numPr>
          <w:ilvl w:val="0"/>
          <w:numId w:val="2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распространять Продукт или его отдельные компоненты;</w:t>
      </w:r>
    </w:p>
    <w:p w14:paraId="7D5D9CAA" w14:textId="77777777" w:rsidR="003D4916" w:rsidRPr="003D4916" w:rsidRDefault="003D4916" w:rsidP="003D4916">
      <w:pPr>
        <w:numPr>
          <w:ilvl w:val="0"/>
          <w:numId w:val="2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0B5016AE" w14:textId="77777777" w:rsidR="003D4916" w:rsidRPr="003D4916" w:rsidRDefault="003D4916" w:rsidP="003D4916">
      <w:pPr>
        <w:numPr>
          <w:ilvl w:val="0"/>
          <w:numId w:val="2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восстанавливать исходный код, </w:t>
      </w:r>
      <w:proofErr w:type="spellStart"/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декомпилировать</w:t>
      </w:r>
      <w:proofErr w:type="spellEnd"/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1A82BA80" w14:textId="77777777" w:rsidR="003D4916" w:rsidRPr="003D4916" w:rsidRDefault="003D4916" w:rsidP="003D4916">
      <w:pPr>
        <w:numPr>
          <w:ilvl w:val="0"/>
          <w:numId w:val="2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24397733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УСЛОВИЯ ИСПОЛЬЗОВАНИЯ (ЛИЦЕНЗИРОВАНИЯ) ПРОДУКТА</w:t>
      </w:r>
    </w:p>
    <w:p w14:paraId="4B9EA9EE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20E9F777" w14:textId="7AAB4C16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lastRenderedPageBreak/>
        <w:t xml:space="preserve">Типовое отраслевое решение «Retail Suite.Global» является 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и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мпортонезависим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ой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отраслев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ой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модульн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ой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ERP систем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ой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, для автоматизации и цифровизации оперативной деятельности и управления процессами средних и крупных розничных сетей на основе технологий Искусственного Интеллекта, Машинного Обучения, и систем хранения данных BigData. и предназначено для автоматизации сетей розничных магазинов (самообслуживания и/или прилавочной торговли) следующих форматов: магазин у дома, дискаунтер, супермаркет, гипермаркет.</w:t>
      </w:r>
    </w:p>
    <w:p w14:paraId="4AC74834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В состав Продукта входят следующие типы лицензируемых программных модулей:</w:t>
      </w:r>
    </w:p>
    <w:p w14:paraId="5A29C0AA" w14:textId="71FB6F7E" w:rsidR="003D4916" w:rsidRPr="003D4916" w:rsidRDefault="003D4916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Retail Suite.Global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ERP Модуль Центр– программный продукт для автоматизации центрального офиса сетевой структуры, базовый модуль</w:t>
      </w:r>
    </w:p>
    <w:p w14:paraId="0ED1286E" w14:textId="0EDE6A89" w:rsidR="003D4916" w:rsidRPr="003D4916" w:rsidRDefault="003D4916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Retail Suite.Global ERP Модуль Региональный Центр– программный продукт для автоматизации регионального офиса сетевой структуры, базовый модуль</w:t>
      </w:r>
    </w:p>
    <w:p w14:paraId="0908C24E" w14:textId="54B7033E" w:rsidR="003D4916" w:rsidRPr="003D4916" w:rsidRDefault="003D4916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Retail Suite.Global ERP Модуль Магазин – программный продукт для автоматизации магазинов сетевой структуры</w:t>
      </w:r>
    </w:p>
    <w:p w14:paraId="3012E29C" w14:textId="2682DF1D" w:rsidR="003D4916" w:rsidRPr="003D4916" w:rsidRDefault="003D4916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Retail Suite.Global ERP Модуль Склад – программный продукт для автоматизации выделенных складов сетевой структуры</w:t>
      </w:r>
    </w:p>
    <w:p w14:paraId="5F8C3DF5" w14:textId="12AD42EF" w:rsidR="003D4916" w:rsidRPr="003D4916" w:rsidRDefault="00F41B80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Retail Suite.Global ERP</w:t>
      </w:r>
      <w:r w:rsid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Модуль</w:t>
      </w:r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="003D4916"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УТТ </w:t>
      </w:r>
      <w:r w:rsidR="00AF2C88"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Магазин</w:t>
      </w:r>
      <w:r w:rsidR="003D4916"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– лицензия для подключения Удаленной Торговой Точки к модулю Центр.</w:t>
      </w:r>
    </w:p>
    <w:p w14:paraId="2231BE31" w14:textId="37395708" w:rsidR="003D4916" w:rsidRDefault="00F41B80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Retail Suite.Global ERP </w:t>
      </w:r>
      <w:r w:rsidR="003D4916"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Модуль Центр – Модуль «УДС»  - лицензия для активации функционала «Управление денежными средствами» активируется в модуле Центр и в каждом модуле Магазин</w:t>
      </w:r>
    </w:p>
    <w:p w14:paraId="440458D2" w14:textId="0CBADE09" w:rsidR="00AF2C88" w:rsidRDefault="00AF2C88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Retail Suite.Global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MDT</w:t>
      </w:r>
      <w:r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- </w:t>
      </w:r>
      <w:r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лицензия для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подключения и </w:t>
      </w:r>
      <w:r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активации функционала терминала сбора данных</w:t>
      </w:r>
    </w:p>
    <w:p w14:paraId="1BE26C7D" w14:textId="5C655971" w:rsidR="00B97588" w:rsidRPr="00B97588" w:rsidRDefault="00B97588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Retail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Suite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Global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ERP</w:t>
      </w:r>
      <w:r w:rsidR="00AF2C88"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Модуль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Analytics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- лицензия для активации функционала</w:t>
      </w:r>
      <w:r w:rsidRPr="00B97588">
        <w:t xml:space="preserve"> 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продвинутой аналитики на основе</w:t>
      </w:r>
      <w:r w:rsid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="001423FC"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BigData</w:t>
      </w:r>
    </w:p>
    <w:p w14:paraId="1843FEB8" w14:textId="6611F412" w:rsidR="00B97588" w:rsidRPr="001423FC" w:rsidRDefault="00B97588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Retail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Suite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Global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ERP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Модуль 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ML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/</w:t>
      </w:r>
      <w:r w:rsidRPr="00B975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AI</w:t>
      </w:r>
      <w:r w:rsidR="001423FC"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- лицензия для активации функционала</w:t>
      </w:r>
      <w:r w:rsidR="001423FC" w:rsidRPr="001423FC">
        <w:t xml:space="preserve"> </w:t>
      </w:r>
      <w:r w:rsid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предиктивной </w:t>
      </w:r>
      <w:r w:rsid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ML</w:t>
      </w:r>
      <w:r w:rsidR="001423FC"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/</w:t>
      </w:r>
      <w:r w:rsid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AI</w:t>
      </w:r>
      <w:r w:rsidR="001423FC"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аналитики </w:t>
      </w:r>
      <w:r w:rsid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в бизнес-процессах </w:t>
      </w:r>
      <w:r w:rsid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ERP</w:t>
      </w:r>
    </w:p>
    <w:p w14:paraId="1E43A7F5" w14:textId="147FD3C9" w:rsidR="00F41B80" w:rsidRDefault="00F41B80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Retail Suite.Global </w:t>
      </w:r>
      <w:proofErr w:type="spellStart"/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Shelf</w:t>
      </w:r>
      <w:proofErr w:type="spellEnd"/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Space Модуль Центр – решение для автоматизации задач мерчандайзинга в Центральном офисе торговой сети. Модуль Центр позволяет осуществлять работу с планограммами нескольких магазинов одновременно</w:t>
      </w:r>
    </w:p>
    <w:p w14:paraId="6EAF6515" w14:textId="06EC7E98" w:rsidR="00F41B80" w:rsidRPr="00F41B80" w:rsidRDefault="00F41B80" w:rsidP="00F41B80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Retail Suite.Global </w:t>
      </w:r>
      <w:proofErr w:type="spellStart"/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Shelf</w:t>
      </w:r>
      <w:proofErr w:type="spellEnd"/>
      <w:r w:rsidRPr="00F41B80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Space Модуль Магазин – решение для автоматизации задач мерчандайзинга в магазинах торговой сети. Модуль Магазин позволяет получать планограммы из модуля Центр и осуществлять работу с мобильными устройствами</w:t>
      </w:r>
    </w:p>
    <w:p w14:paraId="7AEA0633" w14:textId="3154E102" w:rsidR="00F41B80" w:rsidRPr="001423FC" w:rsidRDefault="001423FC" w:rsidP="001423FC">
      <w:pPr>
        <w:pStyle w:val="a6"/>
        <w:numPr>
          <w:ilvl w:val="0"/>
          <w:numId w:val="3"/>
        </w:numP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Retail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Suite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Global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ShelfSpace</w:t>
      </w:r>
      <w:r w:rsidR="00AF2C88"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Модуль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Analytics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- лицензия для активации функционала продвинутой аналитики на основе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BigData</w:t>
      </w:r>
    </w:p>
    <w:p w14:paraId="7DE0BF7D" w14:textId="054DD004" w:rsidR="001423FC" w:rsidRPr="003D4916" w:rsidRDefault="001423FC" w:rsidP="003D4916">
      <w:pPr>
        <w:numPr>
          <w:ilvl w:val="0"/>
          <w:numId w:val="3"/>
        </w:num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Retail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Suite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Global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ShelfSpace</w:t>
      </w:r>
      <w:r w:rsidR="00AF2C88" w:rsidRP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="00AF2C88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Модуль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ML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/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AI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- лицензия для активации функционала предиктивной 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ML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/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val="en-US" w:eastAsia="ru-RU"/>
          <w14:ligatures w14:val="none"/>
        </w:rPr>
        <w:t>AI</w:t>
      </w:r>
      <w:r w:rsidRPr="001423FC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аналитики в бизнес-процессах ShelfSpace</w:t>
      </w:r>
    </w:p>
    <w:p w14:paraId="695A1DA3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412FED20" w14:textId="77777777" w:rsid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Продукт лицензирован по количеству одновременно работающих пользователей (компьютеризированных рабочих мест) бэк-офиса. 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p w14:paraId="7D42410B" w14:textId="76E29971" w:rsidR="00DF6BD9" w:rsidRPr="003D4916" w:rsidRDefault="00DF6BD9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DF6BD9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lastRenderedPageBreak/>
        <w:t xml:space="preserve">Продукт лицензирован по количеству </w:t>
      </w:r>
      <w:r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магазинов входящих в состав розничной сети</w:t>
      </w:r>
      <w:r w:rsidRPr="00DF6BD9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66A8C894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Продукт работает как распределенная сетевая структура только при наличии минимум одного модуля «Магазин» и модуля «Центр».</w:t>
      </w:r>
    </w:p>
    <w:p w14:paraId="7423BB71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(АКЗ), при этом АКЗ для модулей «Центр», «Склад» и «Магазин» различные.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</w:t>
      </w:r>
      <w:proofErr w:type="spellStart"/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пин-кода</w:t>
      </w:r>
      <w:proofErr w:type="spellEnd"/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 xml:space="preserve"> активации. При значительном изменении параметров и комплектующих аппаратного обеспечения (сервера) может понадобится повторная активация лицензии.</w:t>
      </w:r>
    </w:p>
    <w:p w14:paraId="19DACA8D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7999374B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05EB41AB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Для выполнения различных регламентных задач поставляется отдельная техническая лицензия. Работа пользователей с использованием данной лицензии запрещена.</w:t>
      </w:r>
    </w:p>
    <w:p w14:paraId="2D42F5B2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Для выполнения обмена данными с системой ЕГАИС поставляется отдельная техническая лицензия. Работа пользователей с использованием данной лицензии запрещена.</w:t>
      </w:r>
    </w:p>
    <w:p w14:paraId="7CD86675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 </w:t>
      </w:r>
      <w:hyperlink r:id="rId5" w:tgtFrame="_blank" w:history="1">
        <w:r w:rsidRPr="003D4916">
          <w:rPr>
            <w:rFonts w:ascii="Roboto" w:eastAsia="Times New Roman" w:hAnsi="Roboto" w:cs="Times New Roman"/>
            <w:color w:val="03A9F4"/>
            <w:spacing w:val="-5"/>
            <w:kern w:val="0"/>
            <w:sz w:val="24"/>
            <w:szCs w:val="24"/>
            <w:u w:val="single"/>
            <w:lang w:eastAsia="ru-RU"/>
            <w14:ligatures w14:val="none"/>
          </w:rPr>
          <w:t>https://lk.supsoft.ru</w:t>
        </w:r>
      </w:hyperlink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Продукта.</w:t>
      </w:r>
    </w:p>
    <w:p w14:paraId="14DF8A92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ПРОЧИЕ УСЛОВИЯ</w:t>
      </w:r>
    </w:p>
    <w:p w14:paraId="5ED3C473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7D245F91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77733E2D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lastRenderedPageBreak/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1B2531F8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7CFAC70A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3BB2C391" w14:textId="77777777" w:rsidR="003D4916" w:rsidRPr="003D4916" w:rsidRDefault="003D4916" w:rsidP="003D4916">
      <w:pPr>
        <w:shd w:val="clear" w:color="auto" w:fill="F5FAFD"/>
        <w:spacing w:after="24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5405721C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3D4916">
          <w:rPr>
            <w:rFonts w:ascii="Roboto" w:eastAsia="Times New Roman" w:hAnsi="Roboto" w:cs="Times New Roman"/>
            <w:color w:val="03A9F4"/>
            <w:spacing w:val="-5"/>
            <w:kern w:val="0"/>
            <w:sz w:val="24"/>
            <w:szCs w:val="24"/>
            <w:u w:val="single"/>
            <w:lang w:eastAsia="ru-RU"/>
            <w14:ligatures w14:val="none"/>
          </w:rPr>
          <w:t>polet-it.ru</w:t>
        </w:r>
      </w:hyperlink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6FF76D3E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ООО «ПОЛЕТ»</w:t>
      </w:r>
    </w:p>
    <w:p w14:paraId="0226D1E6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125373, МОСКВА ГОРОД, ПРОЕЗД ПОХОДНЫЙ,</w:t>
      </w:r>
    </w:p>
    <w:p w14:paraId="264F0719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ДОМ14, ЭТ. ЦОК. ПОМ. I КОМН. 3,</w:t>
      </w:r>
    </w:p>
    <w:p w14:paraId="40D019CF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ОГРН: 1087746610896, ИНН: 7730582675, КПП: 773301001</w:t>
      </w:r>
    </w:p>
    <w:p w14:paraId="0A7AEEDF" w14:textId="77777777" w:rsidR="003D4916" w:rsidRPr="003D4916" w:rsidRDefault="003D4916" w:rsidP="003D4916">
      <w:pPr>
        <w:shd w:val="clear" w:color="auto" w:fill="F5FAFD"/>
        <w:spacing w:after="0" w:line="240" w:lineRule="auto"/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</w:pP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Тел</w:t>
      </w:r>
      <w:r w:rsidRPr="003D4916">
        <w:rPr>
          <w:rFonts w:ascii="Roboto" w:eastAsia="Times New Roman" w:hAnsi="Roboto" w:cs="Times New Roman"/>
          <w:color w:val="111111"/>
          <w:spacing w:val="-5"/>
          <w:kern w:val="0"/>
          <w:sz w:val="24"/>
          <w:szCs w:val="24"/>
          <w:lang w:eastAsia="ru-RU"/>
          <w14:ligatures w14:val="none"/>
        </w:rPr>
        <w:t> </w:t>
      </w:r>
      <w:r w:rsidRPr="003D4916">
        <w:rPr>
          <w:rFonts w:ascii="Roboto" w:eastAsia="Times New Roman" w:hAnsi="Roboto" w:cs="Times New Roman"/>
          <w:b/>
          <w:bCs/>
          <w:color w:val="111111"/>
          <w:spacing w:val="-5"/>
          <w:kern w:val="0"/>
          <w:sz w:val="24"/>
          <w:szCs w:val="24"/>
          <w:lang w:eastAsia="ru-RU"/>
          <w14:ligatures w14:val="none"/>
        </w:rPr>
        <w:t>+7 (495) 363-06-60</w:t>
      </w:r>
    </w:p>
    <w:p w14:paraId="3E6B82CD" w14:textId="77777777" w:rsidR="00B72320" w:rsidRPr="003D4916" w:rsidRDefault="00B72320" w:rsidP="003D4916"/>
    <w:sectPr w:rsidR="00B72320" w:rsidRPr="003D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6E"/>
    <w:multiLevelType w:val="multilevel"/>
    <w:tmpl w:val="437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4747D"/>
    <w:multiLevelType w:val="multilevel"/>
    <w:tmpl w:val="3B7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E4585"/>
    <w:multiLevelType w:val="multilevel"/>
    <w:tmpl w:val="912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D4DB8"/>
    <w:multiLevelType w:val="multilevel"/>
    <w:tmpl w:val="9E8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0774439">
    <w:abstractNumId w:val="0"/>
  </w:num>
  <w:num w:numId="2" w16cid:durableId="131680039">
    <w:abstractNumId w:val="1"/>
  </w:num>
  <w:num w:numId="3" w16cid:durableId="906299762">
    <w:abstractNumId w:val="3"/>
  </w:num>
  <w:num w:numId="4" w16cid:durableId="192113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E9"/>
    <w:rsid w:val="001423FC"/>
    <w:rsid w:val="00157F9D"/>
    <w:rsid w:val="002D1283"/>
    <w:rsid w:val="003D4916"/>
    <w:rsid w:val="008551E9"/>
    <w:rsid w:val="00AF2C88"/>
    <w:rsid w:val="00B72320"/>
    <w:rsid w:val="00B97588"/>
    <w:rsid w:val="00DE123D"/>
    <w:rsid w:val="00DF6BD9"/>
    <w:rsid w:val="00E76517"/>
    <w:rsid w:val="00F2786B"/>
    <w:rsid w:val="00F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2DA"/>
  <w15:chartTrackingRefBased/>
  <w15:docId w15:val="{500CCC87-EAD4-4137-BD43-BE76F4A1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3D4916"/>
    <w:rPr>
      <w:color w:val="0000FF"/>
      <w:u w:val="single"/>
    </w:rPr>
  </w:style>
  <w:style w:type="paragraph" w:customStyle="1" w:styleId="menu-item">
    <w:name w:val="menu-item"/>
    <w:basedOn w:val="a"/>
    <w:rsid w:val="003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3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3D4916"/>
    <w:rPr>
      <w:b/>
      <w:bCs/>
    </w:rPr>
  </w:style>
  <w:style w:type="paragraph" w:customStyle="1" w:styleId="copyright">
    <w:name w:val="copyright"/>
    <w:basedOn w:val="a"/>
    <w:rsid w:val="003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14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1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5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6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Кирпаль</dc:creator>
  <cp:keywords/>
  <dc:description/>
  <cp:lastModifiedBy>Игорь Кирпаль</cp:lastModifiedBy>
  <cp:revision>5</cp:revision>
  <dcterms:created xsi:type="dcterms:W3CDTF">2024-02-19T11:28:00Z</dcterms:created>
  <dcterms:modified xsi:type="dcterms:W3CDTF">2024-02-19T13:46:00Z</dcterms:modified>
</cp:coreProperties>
</file>